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ook w:val="04A0"/>
      </w:tblPr>
      <w:tblGrid>
        <w:gridCol w:w="1155"/>
        <w:gridCol w:w="1653"/>
        <w:gridCol w:w="6385"/>
        <w:gridCol w:w="236"/>
        <w:gridCol w:w="1472"/>
      </w:tblGrid>
      <w:tr w:rsidR="005A3476" w:rsidRPr="005A3476" w:rsidTr="005A3476">
        <w:trPr>
          <w:trHeight w:val="255"/>
        </w:trPr>
        <w:tc>
          <w:tcPr>
            <w:tcW w:w="1155" w:type="dxa"/>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Level</w:t>
            </w:r>
          </w:p>
        </w:tc>
        <w:tc>
          <w:tcPr>
            <w:tcW w:w="1653" w:type="dxa"/>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p>
        </w:tc>
        <w:tc>
          <w:tcPr>
            <w:tcW w:w="6385" w:type="dxa"/>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Kabupaten Sigi-Biromaru</w:t>
            </w:r>
          </w:p>
        </w:tc>
        <w:tc>
          <w:tcPr>
            <w:tcW w:w="236" w:type="dxa"/>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p>
        </w:tc>
        <w:tc>
          <w:tcPr>
            <w:tcW w:w="1472" w:type="dxa"/>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255"/>
        </w:trPr>
        <w:tc>
          <w:tcPr>
            <w:tcW w:w="2808" w:type="dxa"/>
            <w:gridSpan w:val="2"/>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Komponen</w:t>
            </w:r>
          </w:p>
        </w:tc>
        <w:tc>
          <w:tcPr>
            <w:tcW w:w="6385" w:type="dxa"/>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A. Hukum dan Kebijakan</w:t>
            </w:r>
          </w:p>
        </w:tc>
        <w:tc>
          <w:tcPr>
            <w:tcW w:w="236" w:type="dxa"/>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p>
        </w:tc>
        <w:tc>
          <w:tcPr>
            <w:tcW w:w="1472" w:type="dxa"/>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255"/>
        </w:trPr>
        <w:tc>
          <w:tcPr>
            <w:tcW w:w="1155" w:type="dxa"/>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53" w:type="dxa"/>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6385" w:type="dxa"/>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 w:type="dxa"/>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472" w:type="dxa"/>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255"/>
        </w:trPr>
        <w:tc>
          <w:tcPr>
            <w:tcW w:w="2808" w:type="dxa"/>
            <w:gridSpan w:val="2"/>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Isu dalam PGA REDD+</w:t>
            </w:r>
          </w:p>
        </w:tc>
        <w:tc>
          <w:tcPr>
            <w:tcW w:w="6621" w:type="dxa"/>
            <w:gridSpan w:val="2"/>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I. Perencanaan Kehutanan dan Tata Ruang </w:t>
            </w:r>
          </w:p>
        </w:tc>
        <w:tc>
          <w:tcPr>
            <w:tcW w:w="1472" w:type="dxa"/>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585"/>
        </w:trPr>
        <w:tc>
          <w:tcPr>
            <w:tcW w:w="2808" w:type="dxa"/>
            <w:gridSpan w:val="2"/>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8093" w:type="dxa"/>
            <w:gridSpan w:val="3"/>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5A3476" w:rsidRPr="005A3476" w:rsidTr="005A3476">
        <w:trPr>
          <w:trHeight w:val="975"/>
        </w:trPr>
        <w:tc>
          <w:tcPr>
            <w:tcW w:w="2808" w:type="dxa"/>
            <w:gridSpan w:val="2"/>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Objek Analisis</w:t>
            </w:r>
          </w:p>
        </w:tc>
        <w:tc>
          <w:tcPr>
            <w:tcW w:w="8093" w:type="dxa"/>
            <w:gridSpan w:val="3"/>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1250" w:type="pct"/>
        <w:tblInd w:w="87" w:type="dxa"/>
        <w:tblLook w:val="04A0"/>
      </w:tblPr>
      <w:tblGrid>
        <w:gridCol w:w="706"/>
        <w:gridCol w:w="2165"/>
        <w:gridCol w:w="2108"/>
        <w:gridCol w:w="4461"/>
        <w:gridCol w:w="1461"/>
      </w:tblGrid>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single" w:sz="4" w:space="0" w:color="auto"/>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2040"/>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AIa1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Data/informasi pembuatan RTRW</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 </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Penyusunan RTRW Kabupaten Sigi bersumber dari data yang umumnya disusun oleh pekerjaan umum dan Bappeda serta kehutanan. tetapi tidak banyak mengulas mengenai kehutanan. </w:t>
            </w:r>
            <w:r w:rsidRPr="005A3476">
              <w:rPr>
                <w:rFonts w:ascii="Times New Roman" w:eastAsia="Times New Roman" w:hAnsi="Times New Roman" w:cs="Times New Roman"/>
                <w:color w:val="000000"/>
                <w:sz w:val="20"/>
                <w:szCs w:val="20"/>
                <w:lang w:eastAsia="id-ID"/>
              </w:rPr>
              <w:br/>
              <w:t>Persetujuan bersama DPRD dan Bupati Kab. SIGI mengenai RTRWP dengan No. 188.342/1895/DPRD-B.SIGI/2011</w:t>
            </w:r>
            <w:r w:rsidRPr="005A3476">
              <w:rPr>
                <w:rFonts w:ascii="Times New Roman" w:eastAsia="Times New Roman" w:hAnsi="Times New Roman" w:cs="Times New Roman"/>
                <w:color w:val="000000"/>
                <w:sz w:val="20"/>
                <w:szCs w:val="20"/>
                <w:lang w:eastAsia="id-ID"/>
              </w:rPr>
              <w:br/>
              <w:t>282/170/DPRD-SIGI/X/2011</w:t>
            </w:r>
            <w:r w:rsidRPr="005A3476">
              <w:rPr>
                <w:rFonts w:ascii="Times New Roman" w:eastAsia="Times New Roman" w:hAnsi="Times New Roman" w:cs="Times New Roman"/>
                <w:color w:val="000000"/>
                <w:sz w:val="20"/>
                <w:szCs w:val="20"/>
                <w:lang w:eastAsia="id-ID"/>
              </w:rPr>
              <w:br/>
              <w:t>Tertanggal 26 Oktober 2011</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510"/>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AIa2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Informasi rencana pembentukan RTRW(P)</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diperoleh dokumen aturannya</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510"/>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AIa3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Pengumuman usulan perubahan peruntukan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diketahui oleh masyarakat perubahan peruntukan lahan.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AIa4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Kejelasan informasi  yang dapat diakses berdasarkan uji konsekuensi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aturan yang mengatur</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6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5A3476" w:rsidRPr="005A3476" w:rsidTr="005A3476">
        <w:trPr>
          <w:trHeight w:val="103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Objek Analisis</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AIb1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 </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juga aturan yang berkaitan dengan keterlibatan semua pihak. Penyusunan RTRW lebih banyak dilakukan oleh dinas PU, Dinas kehutanan, Pertanian dan perkebunan dalam tahap penyususnan RTRW belum mendapatkan perhatian yang tinggi.</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AIb2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Petugas khusus yang bertanggung jawab mengelola masukan publik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mekanisme</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AIb3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Dokumentasi setiap masukan (tertulis/tidak tertulis)</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aturan yang mengatur dokumen setiap masukan tertulis dan tidak tertulis</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510"/>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AIb4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respon terhadap masukan yang ada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Berlum ada yang mengatur hal seperti itu.</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510"/>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AIb5</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Penjelasan atas keputusan akhir yang diambil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Ada kesepakatan yang sifatnya konvensional bahwa setiap keputusan akhir harus ada penjelasannya</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lastRenderedPageBreak/>
              <w:t>AIb6</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Pelaksanaan proses partisipasi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Pelaksanaan partisipasi yang dilakukan hanya dalam bentuk sosialisasi, dan itupun dilakukan dalam bentuk kesepakatan yang tidak tertulis, sehingga tidak bisa dikatakan sebagai aturan</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5A3476" w:rsidRPr="005A3476" w:rsidTr="005A3476">
        <w:trPr>
          <w:trHeight w:val="123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Objek Analisis</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5A3476" w:rsidRPr="005A3476" w:rsidTr="005A3476">
        <w:trPr>
          <w:trHeight w:val="255"/>
        </w:trPr>
        <w:tc>
          <w:tcPr>
            <w:tcW w:w="598" w:type="dxa"/>
            <w:tcBorders>
              <w:top w:val="single" w:sz="4" w:space="0" w:color="auto"/>
              <w:left w:val="single" w:sz="4" w:space="0" w:color="auto"/>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020"/>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AIc1</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 dan DPRD Kabupaten Sigi</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single" w:sz="4" w:space="0" w:color="auto"/>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AIc2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Program peningkatan kapasitas pemerintah dalam perencanaan kehutanan dan wilayah</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 Kab. Sigi</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Ada aturan tentang peningkatan SDM tetapi tidak mengkhusus dalam perencanaan kehutanan dan wilayah</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94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5A3476" w:rsidRPr="005A3476" w:rsidTr="005A3476">
        <w:trPr>
          <w:trHeight w:val="100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5A3476" w:rsidRPr="005A3476" w:rsidTr="005A3476">
        <w:trPr>
          <w:trHeight w:val="255"/>
        </w:trPr>
        <w:tc>
          <w:tcPr>
            <w:tcW w:w="598" w:type="dxa"/>
            <w:tcBorders>
              <w:top w:val="single" w:sz="4" w:space="0" w:color="auto"/>
              <w:left w:val="single" w:sz="4" w:space="0" w:color="auto"/>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020"/>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AId1</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pengaduan (termasuk ketentuan tenggat waktu &amp; tindakan yang diambil)</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 Kab. Sigi</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pengaduan tidak diatur secara khusus berjalan sesuai keadaaan di lapangan</w:t>
            </w:r>
          </w:p>
        </w:tc>
        <w:tc>
          <w:tcPr>
            <w:tcW w:w="1633" w:type="dxa"/>
            <w:tcBorders>
              <w:top w:val="single" w:sz="4" w:space="0" w:color="auto"/>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AId2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resolusi konflik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 Kab. Sigi</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penyelesaian konflik belum memiliki model yang terpola, penanganannya lebih banyak dilakukan apa adanya dan atau menyerahkan sepenuhnya pada pihak kepolisian.</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AId3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Keahlian &amp; pemahaman mediator tentang isu-isu masyarakat adat/lokal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 Kab. Sigi</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aturan yang mengatur keahlian dan pemahaman mediator tentang isu-isu masyarakat adat, semua berjalan secara alami dan berlajar serta berkembang di lapangan</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33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Isu dalam PGA REDD+</w:t>
            </w:r>
          </w:p>
        </w:tc>
        <w:tc>
          <w:tcPr>
            <w:tcW w:w="7415"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II.Pengaturan Hak</w:t>
            </w: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5A3476" w:rsidRPr="005A3476" w:rsidTr="005A3476">
        <w:trPr>
          <w:trHeight w:val="63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AIIa1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Ketersediaan seluruh informasi secara sistematis sehingga mudah diakses</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lastRenderedPageBreak/>
              <w:t>AIIa2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Kewajiban memiliki petugas khusus yang menangani permintaan informasi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AIIa3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aturan yang mengharuskan, tetapi semangat transparansi dan akuntabilitas tetap dikedepankan. Karena sejatinya pemerintah daerah melakukan pelayanan prima pada siapapun yang berkepentingan atas informasi yang ada.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AIIa4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Terkait dengan proyek, tentunya diumumkan dan dokumen-dokumennya harus jelas, semua terikat oleh aturan-aturan dalam pelaksanaan proyek. </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AIIa5</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tentang hal tersebut</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AIIa6</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Sanksi bagi pihak-pihak yang sengaja menghambat akses publik atas informasi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Sampai saat ini belum ada pelanggaran atas hal tersebut, dan belum diketahui model sanksi yang akan dikenakan bagi yang melakukan pelanggaran.</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9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UU, Permenhut, Perda</w:t>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7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AIIb1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Terdapat Perda yang disusun oleh dewan yang mendukung keputusan menteri kehutanan tentang penetapan kawasan hutan lindung dan wilayah adat yang ada di sekitar wilayah Taman Nasional. </w:t>
            </w:r>
            <w:r w:rsidRPr="005A3476">
              <w:rPr>
                <w:rFonts w:ascii="Times New Roman" w:eastAsia="Times New Roman" w:hAnsi="Times New Roman" w:cs="Times New Roman"/>
                <w:color w:val="000000"/>
                <w:sz w:val="20"/>
                <w:szCs w:val="20"/>
                <w:lang w:eastAsia="id-ID"/>
              </w:rPr>
              <w:br/>
              <w:t>Peraturan  Daerah  Propinsi  Sulawesi  Tengah Nomor  : 6 Tahun 2006 Tentang Daerah Penyangga Taman Nasional</w:t>
            </w:r>
            <w:r w:rsidRPr="005A3476">
              <w:rPr>
                <w:rFonts w:ascii="Times New Roman" w:eastAsia="Times New Roman" w:hAnsi="Times New Roman" w:cs="Times New Roman"/>
                <w:color w:val="000000"/>
                <w:sz w:val="20"/>
                <w:szCs w:val="20"/>
                <w:lang w:eastAsia="id-ID"/>
              </w:rPr>
              <w:br/>
              <w:t>Pasal 15 dan 21</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3</w:t>
            </w:r>
          </w:p>
        </w:tc>
      </w:tr>
      <w:tr w:rsidR="005A3476" w:rsidRPr="005A3476" w:rsidTr="005A3476">
        <w:trPr>
          <w:trHeight w:val="20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AIIb2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mendapatkan izin pengelolaan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perda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Izin pengelolaan yang dilakukan masih menggunakan aturan-aturan atau payung hukumnya berdasarkan keputusan menteri dan peraturan daerah tingkat propinsi, karena wilayah hutan kabupaten Sigi juga sudah menjadi tanggung jawab dari propinsi dan nasional, bahkan internasional.</w:t>
            </w:r>
            <w:r w:rsidRPr="005A3476">
              <w:rPr>
                <w:rFonts w:ascii="Times New Roman" w:eastAsia="Times New Roman" w:hAnsi="Times New Roman" w:cs="Times New Roman"/>
                <w:color w:val="000000"/>
                <w:sz w:val="20"/>
                <w:szCs w:val="20"/>
                <w:lang w:eastAsia="id-ID"/>
              </w:rPr>
              <w:br/>
              <w:t>Peraturan  Daerah  Propinsi  Sulawesi  Tengah Nomor  : 6 Tahun 2006 Tentang Daerah Penyangga Taman Nasional</w:t>
            </w:r>
            <w:r w:rsidRPr="005A3476">
              <w:rPr>
                <w:rFonts w:ascii="Times New Roman" w:eastAsia="Times New Roman" w:hAnsi="Times New Roman" w:cs="Times New Roman"/>
                <w:color w:val="000000"/>
                <w:sz w:val="20"/>
                <w:szCs w:val="20"/>
                <w:lang w:eastAsia="id-ID"/>
              </w:rPr>
              <w:br/>
              <w:t>Pasal 15 dan 21</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2</w:t>
            </w:r>
          </w:p>
        </w:tc>
      </w:tr>
      <w:tr w:rsidR="005A3476" w:rsidRPr="005A3476" w:rsidTr="005A3476">
        <w:trPr>
          <w:trHeight w:val="229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lastRenderedPageBreak/>
              <w:t>AIIb3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Keuntungan bagi masyarakat Adat/Lokal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perda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Sebenarnya ada aturan bagi masyarakat adat untuk mendapatkan akses langsung terhadap lingkungannya/pengakuan atas nilai lokal dimasyarakat adat tersebut, namun aturan itu belum tersosialisasi dengan baik dan banyak masyarakat yang menolak karena dianggap tidak berpihak ke masyarakat.</w:t>
            </w:r>
            <w:r w:rsidRPr="005A3476">
              <w:rPr>
                <w:rFonts w:ascii="Times New Roman" w:eastAsia="Times New Roman" w:hAnsi="Times New Roman" w:cs="Times New Roman"/>
                <w:color w:val="000000"/>
                <w:sz w:val="20"/>
                <w:szCs w:val="20"/>
                <w:lang w:eastAsia="id-ID"/>
              </w:rPr>
              <w:br/>
              <w:t>Peraturan  Daerah  Propinsi  Sulawesi  Tengah Nomor  : 6 Tahun 2006 Tentang Daerah Penyangga Taman Nasional</w:t>
            </w:r>
            <w:r w:rsidRPr="005A3476">
              <w:rPr>
                <w:rFonts w:ascii="Times New Roman" w:eastAsia="Times New Roman" w:hAnsi="Times New Roman" w:cs="Times New Roman"/>
                <w:color w:val="000000"/>
                <w:sz w:val="20"/>
                <w:szCs w:val="20"/>
                <w:lang w:eastAsia="id-ID"/>
              </w:rPr>
              <w:br/>
              <w:t>Pasal 15 dan 21</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9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UU, Permenhut, Perda</w:t>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AIIc1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Sanksi/ancaman hukum bagi yang melakukan perambahan (di atas lahan bebas konflik)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aturannya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AIIc2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aturannya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AIIc3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Ganti rugi bagi pemegang hak yang dirugikan (mudah &amp; memadai)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aturannya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9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UU, Permenhut, Perda</w:t>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AIId1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yang mengatur peningkatan kapasistas masyarakat.</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AIId2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Program peningkatan kapasitas pemerintah (pada tingkatan) lebih rendah</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yang mengatur peningkatan kapasistas pemerintah pada tingkat yang lebih rendah.</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AIId3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mengakses anggaran peningkatan kapasitas bagi masyarakat Adat/Lokal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aturan yang mengatur mekanisme mengakses anggaran peningkatan kapasitasbagi masyarakat adat.</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AIId4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aturan yang mengatur program peningkatan kapasitas masyarakat dan pemerintah daerah secara partisipatif.</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33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Isu dalam PGA REDD+</w:t>
            </w:r>
          </w:p>
        </w:tc>
        <w:tc>
          <w:tcPr>
            <w:tcW w:w="7415"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III. Pengorganisasian Hutan</w:t>
            </w: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9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lastRenderedPageBreak/>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UU, Permenhut</w:t>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AIIIa1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Kejelasan tugas &amp; wewenang pengelolaan hutan &amp; lahan gambut</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 ada aturannya</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AIIIa2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Transparansi output tahunan dan capaian institusi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 ada aturannya</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AIIIa3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Anggaran berbasis kinerja (Budget based on performance)</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 ada aturannya</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AIIIa4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 ada aturannya</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9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:(permenkum-ham) Cek dibiro hukum prov/kab</w:t>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nil"/>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51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AIIIb1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Kejelasan lembaga yang bertanggung jawab</w:t>
            </w:r>
          </w:p>
        </w:tc>
        <w:tc>
          <w:tcPr>
            <w:tcW w:w="2369" w:type="dxa"/>
            <w:tcBorders>
              <w:top w:val="single" w:sz="4" w:space="0" w:color="auto"/>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AIIIb2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harmonisasi aturan sebelum diundangkan</w:t>
            </w:r>
          </w:p>
        </w:tc>
        <w:tc>
          <w:tcPr>
            <w:tcW w:w="2369"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9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permenpan/SK Gub/Bup/Inpres 5/2004</w:t>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51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AIIIc1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Keterbukaan proses pengisian posisi strategis</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AIIIc2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Penilaian pihak ketiga (independen) dalam proses pemilihan SDM</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AIIIc3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Life style checking dan kewajaran harta dengan bantuan PPATK </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51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AIIIc4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Kewajiban verifikasi LHKPN dengan bantuan KPK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3</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lastRenderedPageBreak/>
              <w:t>AIIIc5</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Batasan Conflict of Interest &amp; mekanisme yang harus dilakukan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AIIIc6</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Pembuatan pakta integritas, pemenuhan kode etik dan kontrak kinerja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000000" w:fill="FFFFFF"/>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2</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9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5A3476" w:rsidRPr="005A3476" w:rsidTr="005A3476">
        <w:trPr>
          <w:trHeight w:val="63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terkait dengan aturan lain, SK kemenhut/ kejaksaan/Kehakiman/KPK/PPATK, Kemenkeu</w:t>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AIIId1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Pembenahan case manage-ment sehingga menutup celah-celah abuse of power</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Kejaksaan dan Kehakiman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AIIId2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Sistem pengawasan dan pen-disiplinan internal di lembaga penegak hukum</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Kejaksaan dan Kehakiman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331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AIIId3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Kejaksaan dan Kehakiman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AIIId4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Kejaksaan dan Kehakiman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4</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AIIId5</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Pemenuhan rasio jumlah penegak hukum di bidang kehutanan dan lahan gambut</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Kejaksaan dan Kehakiman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Tergantung dari usulan dan kebutuhan daerah.</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AIIId6</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insentif dan disinsentif untuk mencapai penaatan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Kejaksaan dan Kehakiman</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33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Isu dalam PGA REDD+</w:t>
            </w:r>
          </w:p>
        </w:tc>
        <w:tc>
          <w:tcPr>
            <w:tcW w:w="7415"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IV. Pengelolaan Hutan</w:t>
            </w: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9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25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lastRenderedPageBreak/>
              <w:t>AIVa1</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FF0000"/>
                <w:sz w:val="20"/>
                <w:szCs w:val="20"/>
                <w:lang w:eastAsia="id-ID"/>
              </w:rPr>
            </w:pPr>
            <w:r w:rsidRPr="005A3476">
              <w:rPr>
                <w:rFonts w:ascii="Times New Roman" w:eastAsia="Times New Roman" w:hAnsi="Times New Roman" w:cs="Times New Roman"/>
                <w:color w:val="FF0000"/>
                <w:sz w:val="20"/>
                <w:szCs w:val="20"/>
                <w:lang w:eastAsia="id-ID"/>
              </w:rPr>
              <w:t>Tidak ada item data dari sumber awal</w:t>
            </w:r>
          </w:p>
        </w:tc>
        <w:tc>
          <w:tcPr>
            <w:tcW w:w="2369"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000000" w:fill="FFFF00"/>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1633" w:type="dxa"/>
            <w:tcBorders>
              <w:top w:val="nil"/>
              <w:left w:val="nil"/>
              <w:bottom w:val="single" w:sz="4" w:space="0" w:color="auto"/>
              <w:right w:val="single" w:sz="4" w:space="0" w:color="auto"/>
            </w:tcBorders>
            <w:shd w:val="clear" w:color="000000" w:fill="FFFF00"/>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r>
      <w:tr w:rsidR="005A3476" w:rsidRPr="005A3476" w:rsidTr="005A3476">
        <w:trPr>
          <w:trHeight w:val="25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AIVa2</w:t>
            </w:r>
          </w:p>
        </w:tc>
        <w:tc>
          <w:tcPr>
            <w:tcW w:w="2434" w:type="dxa"/>
            <w:vMerge/>
            <w:tcBorders>
              <w:top w:val="nil"/>
              <w:left w:val="single" w:sz="4" w:space="0" w:color="auto"/>
              <w:bottom w:val="single" w:sz="4" w:space="0" w:color="000000"/>
              <w:right w:val="single" w:sz="4" w:space="0" w:color="auto"/>
            </w:tcBorders>
            <w:vAlign w:val="center"/>
            <w:hideMark/>
          </w:tcPr>
          <w:p w:rsidR="005A3476" w:rsidRPr="005A3476" w:rsidRDefault="005A3476" w:rsidP="005A3476">
            <w:pPr>
              <w:spacing w:after="0" w:line="240" w:lineRule="auto"/>
              <w:rPr>
                <w:rFonts w:ascii="Times New Roman" w:eastAsia="Times New Roman" w:hAnsi="Times New Roman" w:cs="Times New Roman"/>
                <w:color w:val="FF0000"/>
                <w:sz w:val="20"/>
                <w:szCs w:val="20"/>
                <w:lang w:eastAsia="id-ID"/>
              </w:rPr>
            </w:pPr>
          </w:p>
        </w:tc>
        <w:tc>
          <w:tcPr>
            <w:tcW w:w="2369"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000000" w:fill="FFFF00"/>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1633" w:type="dxa"/>
            <w:tcBorders>
              <w:top w:val="nil"/>
              <w:left w:val="nil"/>
              <w:bottom w:val="single" w:sz="4" w:space="0" w:color="auto"/>
              <w:right w:val="single" w:sz="4" w:space="0" w:color="auto"/>
            </w:tcBorders>
            <w:shd w:val="clear" w:color="000000" w:fill="FFFF00"/>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r>
      <w:tr w:rsidR="005A3476" w:rsidRPr="005A3476" w:rsidTr="005A3476">
        <w:trPr>
          <w:trHeight w:val="57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SK Menhut/pertanian/ SK/perda-Gub/Bup</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AIVb1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AIVb2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AIVb3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AIVb4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2</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AIVb5</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AIVb6</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Sanksi bagi pihak-pihak yang sengaja menghambat akses publik atas informasi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9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SK Menhut/Pertanian, SK/Perda-Gub/Bup</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AIVc1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3</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lastRenderedPageBreak/>
              <w:t>AIVc2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AIVc3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AIVc4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Dokumentasi setiap masukan baik yang tertulis ataupun tidak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AIVc5</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Pemberian respon yang bersifat terbuka atas setiap masukan yang ada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AIVc6</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Pemberian penjelasan atas keputusan akhir yang diambil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model mekanisme penjelasan yang terpolakan, kecuali ada yang mempertanyakan keputusan yang ada.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34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sz w:val="20"/>
                <w:szCs w:val="20"/>
                <w:lang w:eastAsia="id-ID"/>
              </w:rPr>
            </w:pPr>
            <w:r w:rsidRPr="005A3476">
              <w:rPr>
                <w:rFonts w:ascii="Times New Roman" w:eastAsia="Times New Roman" w:hAnsi="Times New Roman" w:cs="Times New Roman"/>
                <w:b/>
                <w:bCs/>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sz w:val="20"/>
                <w:szCs w:val="20"/>
                <w:lang w:eastAsia="id-ID"/>
              </w:rPr>
            </w:pPr>
            <w:r w:rsidRPr="005A3476">
              <w:rPr>
                <w:rFonts w:ascii="Times New Roman" w:eastAsia="Times New Roman" w:hAnsi="Times New Roman" w:cs="Times New Roman"/>
                <w:b/>
                <w:bCs/>
                <w:sz w:val="20"/>
                <w:szCs w:val="20"/>
                <w:lang w:eastAsia="id-ID"/>
              </w:rPr>
              <w:t>: d. Keberadaan dan komprehensiveness aturan yang mengatur mekanisme pemberian izin pengelolaan hutan yang efisien</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sz w:val="20"/>
                <w:szCs w:val="20"/>
                <w:lang w:eastAsia="id-ID"/>
              </w:rPr>
            </w:pPr>
            <w:r w:rsidRPr="005A3476">
              <w:rPr>
                <w:rFonts w:ascii="Times New Roman" w:eastAsia="Times New Roman" w:hAnsi="Times New Roman" w:cs="Times New Roman"/>
                <w:b/>
                <w:bCs/>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sz w:val="20"/>
                <w:szCs w:val="20"/>
                <w:lang w:eastAsia="id-ID"/>
              </w:rPr>
            </w:pPr>
            <w:r w:rsidRPr="005A3476">
              <w:rPr>
                <w:rFonts w:ascii="Times New Roman" w:eastAsia="Times New Roman" w:hAnsi="Times New Roman" w:cs="Times New Roman"/>
                <w:b/>
                <w:bCs/>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sz w:val="20"/>
                <w:szCs w:val="20"/>
                <w:lang w:eastAsia="id-ID"/>
              </w:rPr>
            </w:pPr>
            <w:r w:rsidRPr="005A3476">
              <w:rPr>
                <w:rFonts w:ascii="Times New Roman" w:eastAsia="Times New Roman" w:hAnsi="Times New Roman" w:cs="Times New Roman"/>
                <w:b/>
                <w:bCs/>
                <w:sz w:val="20"/>
                <w:szCs w:val="20"/>
                <w:lang w:eastAsia="id-ID"/>
              </w:rPr>
              <w:t>Sumber Data</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sz w:val="20"/>
                <w:szCs w:val="20"/>
                <w:lang w:eastAsia="id-ID"/>
              </w:rPr>
            </w:pPr>
            <w:r w:rsidRPr="005A3476">
              <w:rPr>
                <w:rFonts w:ascii="Times New Roman" w:eastAsia="Times New Roman" w:hAnsi="Times New Roman" w:cs="Times New Roman"/>
                <w:b/>
                <w:bCs/>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sz w:val="20"/>
                <w:szCs w:val="20"/>
                <w:lang w:eastAsia="id-ID"/>
              </w:rPr>
            </w:pPr>
            <w:r w:rsidRPr="005A3476">
              <w:rPr>
                <w:rFonts w:ascii="Times New Roman" w:eastAsia="Times New Roman" w:hAnsi="Times New Roman" w:cs="Times New Roman"/>
                <w:b/>
                <w:bCs/>
                <w:sz w:val="20"/>
                <w:szCs w:val="20"/>
                <w:lang w:eastAsia="id-ID"/>
              </w:rPr>
              <w:t>Kategori Data</w:t>
            </w:r>
          </w:p>
        </w:tc>
      </w:tr>
      <w:tr w:rsidR="005A3476" w:rsidRPr="005A3476" w:rsidTr="005A3476">
        <w:trPr>
          <w:trHeight w:val="25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sz w:val="20"/>
                <w:szCs w:val="20"/>
                <w:lang w:eastAsia="id-ID"/>
              </w:rPr>
            </w:pPr>
            <w:r w:rsidRPr="005A3476">
              <w:rPr>
                <w:rFonts w:ascii="Times New Roman" w:eastAsia="Times New Roman" w:hAnsi="Times New Roman" w:cs="Times New Roman"/>
                <w:sz w:val="20"/>
                <w:szCs w:val="20"/>
                <w:lang w:eastAsia="id-ID"/>
              </w:rPr>
              <w:t>AIVd1</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FF0000"/>
                <w:sz w:val="20"/>
                <w:szCs w:val="20"/>
                <w:lang w:eastAsia="id-ID"/>
              </w:rPr>
            </w:pPr>
            <w:r w:rsidRPr="005A3476">
              <w:rPr>
                <w:rFonts w:ascii="Times New Roman" w:eastAsia="Times New Roman" w:hAnsi="Times New Roman" w:cs="Times New Roman"/>
                <w:color w:val="FF0000"/>
                <w:sz w:val="20"/>
                <w:szCs w:val="20"/>
                <w:lang w:eastAsia="id-ID"/>
              </w:rPr>
              <w:t>Tidak ada item data dari sumber awal</w:t>
            </w:r>
          </w:p>
        </w:tc>
        <w:tc>
          <w:tcPr>
            <w:tcW w:w="2369"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sz w:val="20"/>
                <w:szCs w:val="20"/>
                <w:lang w:eastAsia="id-ID"/>
              </w:rPr>
            </w:pPr>
            <w:r w:rsidRPr="005A3476">
              <w:rPr>
                <w:rFonts w:ascii="Times New Roman" w:eastAsia="Times New Roman" w:hAnsi="Times New Roman" w:cs="Times New Roman"/>
                <w:sz w:val="20"/>
                <w:szCs w:val="20"/>
                <w:lang w:eastAsia="id-ID"/>
              </w:rPr>
              <w:t> </w:t>
            </w:r>
          </w:p>
        </w:tc>
        <w:tc>
          <w:tcPr>
            <w:tcW w:w="5046" w:type="dxa"/>
            <w:tcBorders>
              <w:top w:val="nil"/>
              <w:left w:val="nil"/>
              <w:bottom w:val="single" w:sz="4" w:space="0" w:color="auto"/>
              <w:right w:val="single" w:sz="4" w:space="0" w:color="auto"/>
            </w:tcBorders>
            <w:shd w:val="clear" w:color="000000" w:fill="FFFF00"/>
            <w:vAlign w:val="center"/>
            <w:hideMark/>
          </w:tcPr>
          <w:p w:rsidR="005A3476" w:rsidRPr="005A3476" w:rsidRDefault="005A3476" w:rsidP="005A3476">
            <w:pPr>
              <w:spacing w:after="0" w:line="240" w:lineRule="auto"/>
              <w:rPr>
                <w:rFonts w:ascii="Times New Roman" w:eastAsia="Times New Roman" w:hAnsi="Times New Roman" w:cs="Times New Roman"/>
                <w:sz w:val="20"/>
                <w:szCs w:val="20"/>
                <w:lang w:eastAsia="id-ID"/>
              </w:rPr>
            </w:pPr>
            <w:r w:rsidRPr="005A3476">
              <w:rPr>
                <w:rFonts w:ascii="Times New Roman" w:eastAsia="Times New Roman" w:hAnsi="Times New Roman" w:cs="Times New Roman"/>
                <w:sz w:val="20"/>
                <w:szCs w:val="20"/>
                <w:lang w:eastAsia="id-ID"/>
              </w:rPr>
              <w:t>Tidak terdapat aturan terkait</w:t>
            </w:r>
          </w:p>
        </w:tc>
        <w:tc>
          <w:tcPr>
            <w:tcW w:w="1633" w:type="dxa"/>
            <w:tcBorders>
              <w:top w:val="nil"/>
              <w:left w:val="nil"/>
              <w:bottom w:val="single" w:sz="4" w:space="0" w:color="auto"/>
              <w:right w:val="single" w:sz="4" w:space="0" w:color="auto"/>
            </w:tcBorders>
            <w:shd w:val="clear" w:color="000000" w:fill="FFFF00"/>
            <w:noWrap/>
            <w:vAlign w:val="center"/>
            <w:hideMark/>
          </w:tcPr>
          <w:p w:rsidR="005A3476" w:rsidRPr="005A3476" w:rsidRDefault="005A3476" w:rsidP="005A3476">
            <w:pPr>
              <w:spacing w:after="0" w:line="240" w:lineRule="auto"/>
              <w:jc w:val="center"/>
              <w:rPr>
                <w:rFonts w:ascii="Times New Roman" w:eastAsia="Times New Roman" w:hAnsi="Times New Roman" w:cs="Times New Roman"/>
                <w:sz w:val="20"/>
                <w:szCs w:val="20"/>
                <w:lang w:eastAsia="id-ID"/>
              </w:rPr>
            </w:pPr>
            <w:r w:rsidRPr="005A3476">
              <w:rPr>
                <w:rFonts w:ascii="Times New Roman" w:eastAsia="Times New Roman" w:hAnsi="Times New Roman" w:cs="Times New Roman"/>
                <w:sz w:val="20"/>
                <w:szCs w:val="20"/>
                <w:lang w:eastAsia="id-ID"/>
              </w:rPr>
              <w:t> </w:t>
            </w:r>
          </w:p>
        </w:tc>
      </w:tr>
      <w:tr w:rsidR="005A3476" w:rsidRPr="005A3476" w:rsidTr="005A3476">
        <w:trPr>
          <w:trHeight w:val="25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sz w:val="20"/>
                <w:szCs w:val="20"/>
                <w:lang w:eastAsia="id-ID"/>
              </w:rPr>
            </w:pPr>
            <w:r w:rsidRPr="005A3476">
              <w:rPr>
                <w:rFonts w:ascii="Times New Roman" w:eastAsia="Times New Roman" w:hAnsi="Times New Roman" w:cs="Times New Roman"/>
                <w:sz w:val="20"/>
                <w:szCs w:val="20"/>
                <w:lang w:eastAsia="id-ID"/>
              </w:rPr>
              <w:t>AIVd2</w:t>
            </w:r>
          </w:p>
        </w:tc>
        <w:tc>
          <w:tcPr>
            <w:tcW w:w="2434" w:type="dxa"/>
            <w:vMerge/>
            <w:tcBorders>
              <w:top w:val="nil"/>
              <w:left w:val="single" w:sz="4" w:space="0" w:color="auto"/>
              <w:bottom w:val="single" w:sz="4" w:space="0" w:color="000000"/>
              <w:right w:val="single" w:sz="4" w:space="0" w:color="auto"/>
            </w:tcBorders>
            <w:vAlign w:val="center"/>
            <w:hideMark/>
          </w:tcPr>
          <w:p w:rsidR="005A3476" w:rsidRPr="005A3476" w:rsidRDefault="005A3476" w:rsidP="005A3476">
            <w:pPr>
              <w:spacing w:after="0" w:line="240" w:lineRule="auto"/>
              <w:rPr>
                <w:rFonts w:ascii="Times New Roman" w:eastAsia="Times New Roman" w:hAnsi="Times New Roman" w:cs="Times New Roman"/>
                <w:color w:val="FF0000"/>
                <w:sz w:val="20"/>
                <w:szCs w:val="20"/>
                <w:lang w:eastAsia="id-ID"/>
              </w:rPr>
            </w:pPr>
          </w:p>
        </w:tc>
        <w:tc>
          <w:tcPr>
            <w:tcW w:w="2369"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sz w:val="20"/>
                <w:szCs w:val="20"/>
                <w:lang w:eastAsia="id-ID"/>
              </w:rPr>
            </w:pPr>
            <w:r w:rsidRPr="005A3476">
              <w:rPr>
                <w:rFonts w:ascii="Times New Roman" w:eastAsia="Times New Roman" w:hAnsi="Times New Roman" w:cs="Times New Roman"/>
                <w:sz w:val="20"/>
                <w:szCs w:val="20"/>
                <w:lang w:eastAsia="id-ID"/>
              </w:rPr>
              <w:t> </w:t>
            </w:r>
          </w:p>
        </w:tc>
        <w:tc>
          <w:tcPr>
            <w:tcW w:w="5046" w:type="dxa"/>
            <w:tcBorders>
              <w:top w:val="nil"/>
              <w:left w:val="nil"/>
              <w:bottom w:val="single" w:sz="4" w:space="0" w:color="auto"/>
              <w:right w:val="single" w:sz="4" w:space="0" w:color="auto"/>
            </w:tcBorders>
            <w:shd w:val="clear" w:color="000000" w:fill="FFFF00"/>
            <w:vAlign w:val="center"/>
            <w:hideMark/>
          </w:tcPr>
          <w:p w:rsidR="005A3476" w:rsidRPr="005A3476" w:rsidRDefault="005A3476" w:rsidP="005A3476">
            <w:pPr>
              <w:spacing w:after="0" w:line="240" w:lineRule="auto"/>
              <w:rPr>
                <w:rFonts w:ascii="Times New Roman" w:eastAsia="Times New Roman" w:hAnsi="Times New Roman" w:cs="Times New Roman"/>
                <w:sz w:val="20"/>
                <w:szCs w:val="20"/>
                <w:lang w:eastAsia="id-ID"/>
              </w:rPr>
            </w:pPr>
            <w:r w:rsidRPr="005A3476">
              <w:rPr>
                <w:rFonts w:ascii="Times New Roman" w:eastAsia="Times New Roman" w:hAnsi="Times New Roman" w:cs="Times New Roman"/>
                <w:sz w:val="20"/>
                <w:szCs w:val="20"/>
                <w:lang w:eastAsia="id-ID"/>
              </w:rPr>
              <w:t>Tidak terdapat aturan terkait</w:t>
            </w:r>
          </w:p>
        </w:tc>
        <w:tc>
          <w:tcPr>
            <w:tcW w:w="1633" w:type="dxa"/>
            <w:tcBorders>
              <w:top w:val="nil"/>
              <w:left w:val="nil"/>
              <w:bottom w:val="single" w:sz="4" w:space="0" w:color="auto"/>
              <w:right w:val="single" w:sz="4" w:space="0" w:color="auto"/>
            </w:tcBorders>
            <w:shd w:val="clear" w:color="000000" w:fill="FFFF00"/>
            <w:noWrap/>
            <w:vAlign w:val="center"/>
            <w:hideMark/>
          </w:tcPr>
          <w:p w:rsidR="005A3476" w:rsidRPr="005A3476" w:rsidRDefault="005A3476" w:rsidP="005A3476">
            <w:pPr>
              <w:spacing w:after="0" w:line="240" w:lineRule="auto"/>
              <w:jc w:val="center"/>
              <w:rPr>
                <w:rFonts w:ascii="Times New Roman" w:eastAsia="Times New Roman" w:hAnsi="Times New Roman" w:cs="Times New Roman"/>
                <w:sz w:val="20"/>
                <w:szCs w:val="20"/>
                <w:lang w:eastAsia="id-ID"/>
              </w:rPr>
            </w:pPr>
            <w:r w:rsidRPr="005A3476">
              <w:rPr>
                <w:rFonts w:ascii="Times New Roman" w:eastAsia="Times New Roman" w:hAnsi="Times New Roman" w:cs="Times New Roman"/>
                <w:sz w:val="20"/>
                <w:szCs w:val="20"/>
                <w:lang w:eastAsia="id-ID"/>
              </w:rPr>
              <w:t> </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3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AIVe1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standar baku yang diterapkan.</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51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AIVe2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resolusi konflik dan penyelesaian sengketa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AIVe3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Mediator memiliki keahlian dan pemahaman tentang isu-isu adat/masyarakat lokal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AIVe4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33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Isu dalam PGA REDD+</w:t>
            </w:r>
          </w:p>
        </w:tc>
        <w:tc>
          <w:tcPr>
            <w:tcW w:w="7415"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V. Pengorganisasian Hutan</w:t>
            </w: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lastRenderedPageBreak/>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SK Menhut/Gub/Bu</w:t>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AVa1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AVa2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AVa3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ptopinsi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AVa4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penerapan sanksi, karena aturannya juga tidak ada.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54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Per/SK menhut/Gub/Bup</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AVb1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Ketika ada pengaduan dilakukan secara spontan dan tidak terkonsep dengan jelas. Semuanya dilakukan didasarkan atas apa yang memungkinkan untuk dilakukan pada saat itu.</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AVb2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Aturannya tidak ada. </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AVb3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Dokumentasi setiap laporan pengaduan baik yang tertulis ataupun tidak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aturan, ketika ada pengaduan dan dianggap tidak terlalu berdampak tidak ditangani langsung, kecuali sudah muali ada riak-riak baru instansi bergerak.</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AVb4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Jangka waktu kerja dalam menyelesaikan masalah tidak terbatas.</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AVb5</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mekanismenya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lastRenderedPageBreak/>
              <w:t>AVb6</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penunjukan khusus.</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55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5A3476">
              <w:rPr>
                <w:rFonts w:ascii="Times New Roman" w:eastAsia="Times New Roman" w:hAnsi="Times New Roman" w:cs="Times New Roman"/>
                <w:b/>
                <w:bCs/>
                <w:color w:val="000000"/>
                <w:sz w:val="20"/>
                <w:szCs w:val="20"/>
                <w:lang w:eastAsia="id-ID"/>
              </w:rPr>
              <w:br/>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AVc1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AVc2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Biro hukum</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1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5A3476">
              <w:rPr>
                <w:rFonts w:ascii="Times New Roman" w:eastAsia="Times New Roman" w:hAnsi="Times New Roman" w:cs="Times New Roman"/>
                <w:b/>
                <w:bCs/>
                <w:color w:val="000000"/>
                <w:sz w:val="20"/>
                <w:szCs w:val="20"/>
                <w:lang w:eastAsia="id-ID"/>
              </w:rPr>
              <w:br/>
            </w:r>
            <w:r w:rsidRPr="005A3476">
              <w:rPr>
                <w:rFonts w:ascii="Times New Roman" w:eastAsia="Times New Roman" w:hAnsi="Times New Roman" w:cs="Times New Roman"/>
                <w:b/>
                <w:bCs/>
                <w:color w:val="000000"/>
                <w:sz w:val="20"/>
                <w:szCs w:val="20"/>
                <w:lang w:eastAsia="id-ID"/>
              </w:rPr>
              <w:br/>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AVd1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Pelaksanaan perbaikan sistem secara partisipatif dari rekomendasi BPK dan KPK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5A3476">
              <w:rPr>
                <w:rFonts w:ascii="Times New Roman" w:eastAsia="Times New Roman" w:hAnsi="Times New Roman" w:cs="Times New Roman"/>
                <w:b/>
                <w:bCs/>
                <w:color w:val="000000"/>
                <w:sz w:val="20"/>
                <w:szCs w:val="20"/>
                <w:lang w:eastAsia="id-ID"/>
              </w:rPr>
              <w:br/>
            </w:r>
            <w:r w:rsidRPr="005A3476">
              <w:rPr>
                <w:rFonts w:ascii="Times New Roman" w:eastAsia="Times New Roman" w:hAnsi="Times New Roman" w:cs="Times New Roman"/>
                <w:b/>
                <w:bCs/>
                <w:color w:val="000000"/>
                <w:sz w:val="20"/>
                <w:szCs w:val="20"/>
                <w:lang w:eastAsia="id-ID"/>
              </w:rPr>
              <w:br/>
            </w:r>
            <w:r w:rsidRPr="005A3476">
              <w:rPr>
                <w:rFonts w:ascii="Times New Roman" w:eastAsia="Times New Roman" w:hAnsi="Times New Roman" w:cs="Times New Roman"/>
                <w:b/>
                <w:bCs/>
                <w:color w:val="000000"/>
                <w:sz w:val="20"/>
                <w:szCs w:val="20"/>
                <w:lang w:eastAsia="id-ID"/>
              </w:rPr>
              <w:br/>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aturan KLH-kehutanan (satgas illegal loging)</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AVe1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33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Isu dalam PGA REDD+</w:t>
            </w:r>
          </w:p>
        </w:tc>
        <w:tc>
          <w:tcPr>
            <w:tcW w:w="7415"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VI. Infrastruktur REDD+</w:t>
            </w: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0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lastRenderedPageBreak/>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5A3476" w:rsidRPr="005A3476" w:rsidTr="005A3476">
        <w:trPr>
          <w:trHeight w:val="390"/>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9048" w:type="dxa"/>
            <w:gridSpan w:val="3"/>
            <w:tcBorders>
              <w:top w:val="nil"/>
              <w:left w:val="nil"/>
              <w:bottom w:val="single" w:sz="4" w:space="0" w:color="auto"/>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(UKP4, Permenhut, Perda/SK Gub/Bup)</w:t>
            </w:r>
            <w:r w:rsidRPr="005A3476">
              <w:rPr>
                <w:rFonts w:ascii="Times New Roman" w:eastAsia="Times New Roman" w:hAnsi="Times New Roman" w:cs="Times New Roman"/>
                <w:b/>
                <w:bCs/>
                <w:color w:val="000000"/>
                <w:sz w:val="20"/>
                <w:szCs w:val="20"/>
                <w:lang w:eastAsia="id-ID"/>
              </w:rPr>
              <w:br/>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AVIa1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infrastruktur REDD+</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AVIa2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pembentukan badan khusus.</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AVIa3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Pemberian akses bagi publik baik secara proaktif maupun berdasarkan permintaan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AVIa4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AVIa5</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Sanksi bagi pihak-pihak yang sengaja menghambat akses publik atas informasi</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58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AVIb1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rencana pembentukan peraturan terkait dengan REDD+</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AVIb2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AVIb3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infrastruktur REDD+ sendiri belum terbentuk</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lastRenderedPageBreak/>
              <w:t>AVIb4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Dokumentasi setiap masukan baik yang tertulis ataupun tidak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12"/>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AVIb5</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51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AVIb6</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Penjelasan atas keputusan akhir yang diambil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AVIb7</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4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280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AVIc1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AVIc2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76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AVIc3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Jasa mediator yang memiliki keahlian dan pemahaman tentang isu-isu adat</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kasus yang menggunakan kasus mediator.</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1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5A3476">
              <w:rPr>
                <w:rFonts w:ascii="Times New Roman" w:eastAsia="Times New Roman" w:hAnsi="Times New Roman" w:cs="Times New Roman"/>
                <w:b/>
                <w:bCs/>
                <w:color w:val="000000"/>
                <w:sz w:val="20"/>
                <w:szCs w:val="20"/>
                <w:lang w:eastAsia="id-ID"/>
              </w:rPr>
              <w:br/>
              <w:t xml:space="preserve"> </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AVId1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Sejauh ini yang melaksanakan hanya Pokja REDD yang ada di provinsi. Pemerintah belum memberikan perhatian dalam pembentukan infrastruktur REDD+ di kabupaten Sigi.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53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lastRenderedPageBreak/>
              <w:t>AVId2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Walaupun kabupaten sigi masuk dalam Wilayah REDD+ namun belum ada usaha maksimal untuk peningkatan kapasitas, bahkan informasi seperti apa itu REDD+ bagi pemerintah belum merata pengetahuannya.                                                                      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61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5A3476">
              <w:rPr>
                <w:rFonts w:ascii="Times New Roman" w:eastAsia="Times New Roman" w:hAnsi="Times New Roman" w:cs="Times New Roman"/>
                <w:b/>
                <w:bCs/>
                <w:color w:val="000000"/>
                <w:sz w:val="20"/>
                <w:szCs w:val="20"/>
                <w:lang w:eastAsia="id-ID"/>
              </w:rPr>
              <w:br/>
              <w:t xml:space="preserve"> </w:t>
            </w:r>
            <w:r w:rsidRPr="005A3476">
              <w:rPr>
                <w:rFonts w:ascii="Times New Roman" w:eastAsia="Times New Roman" w:hAnsi="Times New Roman" w:cs="Times New Roman"/>
                <w:b/>
                <w:bCs/>
                <w:color w:val="000000"/>
                <w:sz w:val="20"/>
                <w:szCs w:val="20"/>
                <w:lang w:eastAsia="id-ID"/>
              </w:rPr>
              <w:br/>
              <w:t xml:space="preserve"> </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AVIe1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Pelaksanaan perbaikan sistem berdasarkan rekomendasi BPK secara partisipatif</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255"/>
        </w:trPr>
        <w:tc>
          <w:tcPr>
            <w:tcW w:w="598"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434"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2369"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5046"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p>
        </w:tc>
        <w:tc>
          <w:tcPr>
            <w:tcW w:w="1633" w:type="dxa"/>
            <w:tcBorders>
              <w:top w:val="nil"/>
              <w:left w:val="nil"/>
              <w:bottom w:val="nil"/>
              <w:right w:val="nil"/>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p>
        </w:tc>
      </w:tr>
      <w:tr w:rsidR="005A3476" w:rsidRPr="005A3476" w:rsidTr="005A3476">
        <w:trPr>
          <w:trHeight w:val="585"/>
        </w:trPr>
        <w:tc>
          <w:tcPr>
            <w:tcW w:w="3032" w:type="dxa"/>
            <w:gridSpan w:val="2"/>
            <w:tcBorders>
              <w:top w:val="nil"/>
              <w:left w:val="nil"/>
              <w:bottom w:val="nil"/>
              <w:right w:val="nil"/>
            </w:tcBorders>
            <w:shd w:val="clear" w:color="auto" w:fill="auto"/>
            <w:noWrap/>
            <w:vAlign w:val="center"/>
            <w:hideMark/>
          </w:tcPr>
          <w:p w:rsidR="005A3476" w:rsidRPr="005A3476" w:rsidRDefault="005A3476" w:rsidP="005A3476">
            <w:pPr>
              <w:spacing w:after="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Indikator</w:t>
            </w:r>
          </w:p>
        </w:tc>
        <w:tc>
          <w:tcPr>
            <w:tcW w:w="9048" w:type="dxa"/>
            <w:gridSpan w:val="3"/>
            <w:tcBorders>
              <w:top w:val="nil"/>
              <w:left w:val="nil"/>
              <w:bottom w:val="nil"/>
              <w:right w:val="nil"/>
            </w:tcBorders>
            <w:shd w:val="clear" w:color="auto" w:fill="auto"/>
            <w:vAlign w:val="center"/>
            <w:hideMark/>
          </w:tcPr>
          <w:p w:rsidR="005A3476" w:rsidRPr="005A3476" w:rsidRDefault="005A3476" w:rsidP="005A3476">
            <w:pPr>
              <w:spacing w:after="240" w:line="240" w:lineRule="auto"/>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5A3476">
              <w:rPr>
                <w:rFonts w:ascii="Times New Roman" w:eastAsia="Times New Roman" w:hAnsi="Times New Roman" w:cs="Times New Roman"/>
                <w:b/>
                <w:bCs/>
                <w:color w:val="000000"/>
                <w:sz w:val="20"/>
                <w:szCs w:val="20"/>
                <w:lang w:eastAsia="id-ID"/>
              </w:rPr>
              <w:br/>
              <w:t xml:space="preserve"> </w:t>
            </w:r>
          </w:p>
        </w:tc>
      </w:tr>
      <w:tr w:rsidR="005A3476" w:rsidRPr="005A3476" w:rsidTr="005A3476">
        <w:trPr>
          <w:trHeight w:val="255"/>
        </w:trPr>
        <w:tc>
          <w:tcPr>
            <w:tcW w:w="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Kode</w:t>
            </w:r>
          </w:p>
        </w:tc>
        <w:tc>
          <w:tcPr>
            <w:tcW w:w="2434"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Item Data</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Data</w:t>
            </w:r>
          </w:p>
        </w:tc>
        <w:tc>
          <w:tcPr>
            <w:tcW w:w="5046"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Sumber Dokumen Hukum dan Kebijakan</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b/>
                <w:bCs/>
                <w:color w:val="000000"/>
                <w:sz w:val="20"/>
                <w:szCs w:val="20"/>
                <w:lang w:eastAsia="id-ID"/>
              </w:rPr>
            </w:pPr>
            <w:r w:rsidRPr="005A3476">
              <w:rPr>
                <w:rFonts w:ascii="Times New Roman" w:eastAsia="Times New Roman" w:hAnsi="Times New Roman" w:cs="Times New Roman"/>
                <w:b/>
                <w:bCs/>
                <w:color w:val="000000"/>
                <w:sz w:val="20"/>
                <w:szCs w:val="20"/>
                <w:lang w:eastAsia="id-ID"/>
              </w:rPr>
              <w:t>Kategori Data</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AVIf1</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aturan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020"/>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AVIf2</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resolusi konflik dan penyelesaian sengketa melalui jalur perundingan</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Tidak ada data/dokumen tertulis mengenai mekanisme adat yang dijadikan resolusi konflik. 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AVIf3</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Dinas kehutanan</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propinsiSelama ini kasus kehutanan diselesaiakan melalui jalur hukum formal oleh kepolisian dan pengadilan.</w:t>
            </w:r>
          </w:p>
        </w:tc>
        <w:tc>
          <w:tcPr>
            <w:tcW w:w="1633"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r w:rsidR="005A3476" w:rsidRPr="005A3476" w:rsidTr="005A3476">
        <w:trPr>
          <w:trHeight w:val="1275"/>
        </w:trPr>
        <w:tc>
          <w:tcPr>
            <w:tcW w:w="598" w:type="dxa"/>
            <w:tcBorders>
              <w:top w:val="nil"/>
              <w:left w:val="single" w:sz="4" w:space="0" w:color="auto"/>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AVIf4</w:t>
            </w:r>
          </w:p>
        </w:tc>
        <w:tc>
          <w:tcPr>
            <w:tcW w:w="2434"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2369"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 </w:t>
            </w:r>
          </w:p>
        </w:tc>
        <w:tc>
          <w:tcPr>
            <w:tcW w:w="5046" w:type="dxa"/>
            <w:tcBorders>
              <w:top w:val="nil"/>
              <w:left w:val="nil"/>
              <w:bottom w:val="single" w:sz="4" w:space="0" w:color="auto"/>
              <w:right w:val="single" w:sz="4" w:space="0" w:color="auto"/>
            </w:tcBorders>
            <w:shd w:val="clear" w:color="auto" w:fill="auto"/>
            <w:vAlign w:val="center"/>
            <w:hideMark/>
          </w:tcPr>
          <w:p w:rsidR="005A3476" w:rsidRPr="005A3476" w:rsidRDefault="005A3476" w:rsidP="005A3476">
            <w:pPr>
              <w:spacing w:after="0" w:line="240" w:lineRule="auto"/>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belum ada aturan karena kab sigi daerah pemekaran baru, aturan-aturannya masih mengacu propinsi</w:t>
            </w:r>
          </w:p>
        </w:tc>
        <w:tc>
          <w:tcPr>
            <w:tcW w:w="1633" w:type="dxa"/>
            <w:tcBorders>
              <w:top w:val="nil"/>
              <w:left w:val="nil"/>
              <w:bottom w:val="single" w:sz="4" w:space="0" w:color="auto"/>
              <w:right w:val="single" w:sz="4" w:space="0" w:color="auto"/>
            </w:tcBorders>
            <w:shd w:val="clear" w:color="auto" w:fill="auto"/>
            <w:noWrap/>
            <w:vAlign w:val="center"/>
            <w:hideMark/>
          </w:tcPr>
          <w:p w:rsidR="005A3476" w:rsidRPr="005A3476" w:rsidRDefault="005A3476" w:rsidP="005A3476">
            <w:pPr>
              <w:spacing w:after="0" w:line="240" w:lineRule="auto"/>
              <w:jc w:val="center"/>
              <w:rPr>
                <w:rFonts w:ascii="Times New Roman" w:eastAsia="Times New Roman" w:hAnsi="Times New Roman" w:cs="Times New Roman"/>
                <w:color w:val="000000"/>
                <w:sz w:val="20"/>
                <w:szCs w:val="20"/>
                <w:lang w:eastAsia="id-ID"/>
              </w:rPr>
            </w:pPr>
            <w:r w:rsidRPr="005A3476">
              <w:rPr>
                <w:rFonts w:ascii="Times New Roman" w:eastAsia="Times New Roman" w:hAnsi="Times New Roman" w:cs="Times New Roman"/>
                <w:color w:val="000000"/>
                <w:sz w:val="20"/>
                <w:szCs w:val="20"/>
                <w:lang w:eastAsia="id-ID"/>
              </w:rPr>
              <w:t>1</w:t>
            </w:r>
          </w:p>
        </w:tc>
      </w:tr>
    </w:tbl>
    <w:p w:rsidR="005A3476" w:rsidRDefault="005A3476"/>
    <w:sectPr w:rsidR="005A3476"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4165D1"/>
    <w:rsid w:val="005A3476"/>
    <w:rsid w:val="006E5970"/>
    <w:rsid w:val="007E685B"/>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5A3476"/>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90">
    <w:name w:val="xl90"/>
    <w:basedOn w:val="Normal"/>
    <w:rsid w:val="005A3476"/>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91">
    <w:name w:val="xl91"/>
    <w:basedOn w:val="Normal"/>
    <w:rsid w:val="005A34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92">
    <w:name w:val="xl92"/>
    <w:basedOn w:val="Normal"/>
    <w:rsid w:val="005A34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 w:type="paragraph" w:customStyle="1" w:styleId="xl93">
    <w:name w:val="xl93"/>
    <w:basedOn w:val="Normal"/>
    <w:rsid w:val="005A3476"/>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695157407">
      <w:bodyDiv w:val="1"/>
      <w:marLeft w:val="0"/>
      <w:marRight w:val="0"/>
      <w:marTop w:val="0"/>
      <w:marBottom w:val="0"/>
      <w:divBdr>
        <w:top w:val="none" w:sz="0" w:space="0" w:color="auto"/>
        <w:left w:val="none" w:sz="0" w:space="0" w:color="auto"/>
        <w:bottom w:val="none" w:sz="0" w:space="0" w:color="auto"/>
        <w:right w:val="none" w:sz="0" w:space="0" w:color="auto"/>
      </w:divBdr>
    </w:div>
    <w:div w:id="14085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4425</Words>
  <Characters>25229</Characters>
  <Application>Microsoft Office Word</Application>
  <DocSecurity>0</DocSecurity>
  <Lines>210</Lines>
  <Paragraphs>59</Paragraphs>
  <ScaleCrop>false</ScaleCrop>
  <Company/>
  <LinksUpToDate>false</LinksUpToDate>
  <CharactersWithSpaces>29595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2012-10-16T08:10:00Z</dcterms:modified>
</cp:coreProperties>
</file>